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7C" w:rsidRDefault="00AC377C">
      <w:bookmarkStart w:id="0" w:name="_GoBack"/>
      <w:bookmarkEnd w:id="0"/>
      <w:r w:rsidRPr="00AC377C">
        <w:rPr>
          <w:b/>
        </w:rPr>
        <w:t>Multi-site HITH PICC Study</w:t>
      </w:r>
      <w:r>
        <w:t xml:space="preserve"> – Pauline Dobson &amp; Mark Loewenthal</w:t>
      </w:r>
    </w:p>
    <w:p w:rsidR="00AC377C" w:rsidRDefault="00AC377C"/>
    <w:p w:rsidR="00AC377C" w:rsidRDefault="00AC377C">
      <w:r w:rsidRPr="00AC377C">
        <w:rPr>
          <w:b/>
        </w:rPr>
        <w:t>Sites</w:t>
      </w:r>
      <w:r w:rsidR="0035627F">
        <w:rPr>
          <w:b/>
        </w:rPr>
        <w:tab/>
      </w:r>
      <w:r>
        <w:t>The following sites have been enrolled in the study to date: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Out &amp; About IV Therapy Program, John Hunter Hospital Newcastle NSW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Macarthur Ambulatory Care Service, Sydney South West NSW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APAC Gosford Hospital, Gosford NSW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Prince of Wales Hospital HITH Service, Sydney NSW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Goulburn Valley Health, Shepparton VIC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Fairfield Ambulatory Care, Fairfield Hospital, Sydney NSW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St. John of God Health Choices, Ballarat VIC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Wide Bay Health Service, Bundaberg QLD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Canberra Hospital HITH, Canberra ACT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Ambulatory Care Bankstown/Lidcombe Hospital, Bankstown NSW</w:t>
      </w:r>
    </w:p>
    <w:p w:rsidR="00AC377C" w:rsidRPr="00A86DF8" w:rsidRDefault="00AC377C" w:rsidP="00AC377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86DF8">
        <w:rPr>
          <w:rFonts w:ascii="Arial" w:hAnsi="Arial" w:cs="Arial"/>
        </w:rPr>
        <w:t>Homelink, Sir Charles Gairdner Hospital, Perth WA</w:t>
      </w:r>
    </w:p>
    <w:p w:rsidR="00AC377C" w:rsidRDefault="00AC377C"/>
    <w:p w:rsidR="00AC377C" w:rsidRPr="00AC377C" w:rsidRDefault="00AC377C">
      <w:pPr>
        <w:rPr>
          <w:b/>
        </w:rPr>
      </w:pPr>
      <w:r>
        <w:rPr>
          <w:b/>
        </w:rPr>
        <w:t>Outcomes</w:t>
      </w:r>
    </w:p>
    <w:p w:rsidR="00AC377C" w:rsidRDefault="00AC377C">
      <w:r>
        <w:t xml:space="preserve">The analysis of the data has resulted in </w:t>
      </w:r>
      <w:r w:rsidR="003E1E7F">
        <w:t>4</w:t>
      </w:r>
      <w:r>
        <w:t xml:space="preserve"> conference papers to date. </w:t>
      </w:r>
    </w:p>
    <w:p w:rsidR="003E1E7F" w:rsidRPr="003E1E7F" w:rsidRDefault="003E1E7F" w:rsidP="003E1E7F">
      <w:pPr>
        <w:pStyle w:val="Default"/>
        <w:numPr>
          <w:ilvl w:val="0"/>
          <w:numId w:val="2"/>
        </w:numPr>
        <w:rPr>
          <w:sz w:val="14"/>
          <w:szCs w:val="20"/>
        </w:rPr>
      </w:pPr>
      <w:r w:rsidRPr="003E1E7F">
        <w:rPr>
          <w:sz w:val="14"/>
          <w:szCs w:val="20"/>
        </w:rPr>
        <w:t xml:space="preserve">Collins, N. Loewenthal, M. Dobson, P. Senanayake, S. &amp; Hecimovic, T. (2011). A multi-center study to benchmark peripherally inserted central catheter (PICC) outcomes in Hospital in the Home. 4th Annual HITH Scientific Conference, Sydney November 2011. </w:t>
      </w:r>
    </w:p>
    <w:p w:rsidR="00AC377C" w:rsidRPr="00AC377C" w:rsidRDefault="00AC377C" w:rsidP="00AC377C">
      <w:pPr>
        <w:pStyle w:val="Quick1"/>
        <w:numPr>
          <w:ilvl w:val="0"/>
          <w:numId w:val="2"/>
        </w:numPr>
        <w:tabs>
          <w:tab w:val="clear" w:pos="360"/>
          <w:tab w:val="left" w:pos="283"/>
          <w:tab w:val="num" w:pos="426"/>
          <w:tab w:val="left" w:pos="556"/>
          <w:tab w:val="left" w:pos="840"/>
          <w:tab w:val="left" w:pos="1124"/>
          <w:tab w:val="left" w:pos="1409"/>
          <w:tab w:val="left" w:pos="1693"/>
          <w:tab w:val="left" w:pos="1978"/>
          <w:tab w:val="left" w:pos="2262"/>
          <w:tab w:val="left" w:pos="2546"/>
          <w:tab w:val="left" w:pos="2831"/>
          <w:tab w:val="left" w:pos="3115"/>
          <w:tab w:val="left" w:pos="3400"/>
          <w:tab w:val="left" w:pos="3684"/>
          <w:tab w:val="left" w:pos="3968"/>
          <w:tab w:val="left" w:pos="4253"/>
          <w:tab w:val="left" w:pos="4537"/>
          <w:tab w:val="left" w:pos="4822"/>
          <w:tab w:val="left" w:pos="5106"/>
          <w:tab w:val="left" w:pos="5390"/>
          <w:tab w:val="left" w:pos="5675"/>
          <w:tab w:val="left" w:pos="5959"/>
          <w:tab w:val="left" w:pos="6244"/>
          <w:tab w:val="left" w:pos="6528"/>
          <w:tab w:val="left" w:pos="6812"/>
          <w:tab w:val="left" w:pos="7097"/>
          <w:tab w:val="left" w:pos="7381"/>
          <w:tab w:val="left" w:pos="7666"/>
          <w:tab w:val="left" w:pos="7950"/>
          <w:tab w:val="left" w:pos="8234"/>
          <w:tab w:val="left" w:pos="8519"/>
          <w:tab w:val="left" w:pos="8803"/>
          <w:tab w:val="left" w:pos="9088"/>
          <w:tab w:val="left" w:pos="9372"/>
          <w:tab w:val="left" w:pos="9656"/>
          <w:tab w:val="left" w:pos="9941"/>
          <w:tab w:val="left" w:pos="10225"/>
          <w:tab w:val="left" w:pos="10510"/>
        </w:tabs>
        <w:ind w:left="284" w:hanging="284"/>
        <w:jc w:val="both"/>
        <w:rPr>
          <w:rFonts w:cs="Arial"/>
          <w:sz w:val="14"/>
          <w:szCs w:val="16"/>
        </w:rPr>
      </w:pPr>
      <w:r w:rsidRPr="00AC377C">
        <w:rPr>
          <w:rFonts w:cs="Arial"/>
          <w:sz w:val="14"/>
          <w:szCs w:val="16"/>
        </w:rPr>
        <w:t xml:space="preserve">Loewenthal M, Dobson P, Collins N, Harbort Y, Kuzmich D, Van Popering G, for the HITH Research Interest Group. </w:t>
      </w:r>
      <w:r w:rsidRPr="00AC377C">
        <w:rPr>
          <w:rFonts w:cs="Arial"/>
          <w:sz w:val="14"/>
          <w:szCs w:val="16"/>
          <w:u w:val="single"/>
        </w:rPr>
        <w:t>Multi-HITH PICC Study – the Power of Many</w:t>
      </w:r>
      <w:r w:rsidRPr="00AC377C">
        <w:rPr>
          <w:rFonts w:cs="Arial"/>
          <w:sz w:val="14"/>
          <w:szCs w:val="16"/>
        </w:rPr>
        <w:t>. 5</w:t>
      </w:r>
      <w:r w:rsidRPr="00AC377C">
        <w:rPr>
          <w:rFonts w:cs="Arial"/>
          <w:sz w:val="14"/>
          <w:szCs w:val="16"/>
          <w:vertAlign w:val="superscript"/>
        </w:rPr>
        <w:t>th</w:t>
      </w:r>
      <w:r w:rsidRPr="00AC377C">
        <w:rPr>
          <w:rFonts w:cs="Arial"/>
          <w:sz w:val="14"/>
          <w:szCs w:val="16"/>
        </w:rPr>
        <w:t xml:space="preserve"> Annual Scientific Conference HITH Society Australasia. 22</w:t>
      </w:r>
      <w:r w:rsidRPr="00AC377C">
        <w:rPr>
          <w:rFonts w:cs="Arial"/>
          <w:sz w:val="14"/>
          <w:szCs w:val="16"/>
          <w:vertAlign w:val="superscript"/>
        </w:rPr>
        <w:t>nd</w:t>
      </w:r>
      <w:r w:rsidRPr="00AC377C">
        <w:rPr>
          <w:rFonts w:cs="Arial"/>
          <w:sz w:val="14"/>
          <w:szCs w:val="16"/>
        </w:rPr>
        <w:t>-23</w:t>
      </w:r>
      <w:r w:rsidRPr="00AC377C">
        <w:rPr>
          <w:rFonts w:cs="Arial"/>
          <w:sz w:val="14"/>
          <w:szCs w:val="16"/>
          <w:vertAlign w:val="superscript"/>
        </w:rPr>
        <w:t>rd</w:t>
      </w:r>
      <w:r w:rsidRPr="00AC377C">
        <w:rPr>
          <w:rFonts w:cs="Arial"/>
          <w:sz w:val="14"/>
          <w:szCs w:val="16"/>
        </w:rPr>
        <w:t xml:space="preserve"> November 2012.Melbourne VIC.</w:t>
      </w:r>
    </w:p>
    <w:p w:rsidR="00AC377C" w:rsidRPr="00AC377C" w:rsidRDefault="00AC377C" w:rsidP="00AC377C">
      <w:pPr>
        <w:numPr>
          <w:ilvl w:val="0"/>
          <w:numId w:val="2"/>
        </w:numPr>
        <w:rPr>
          <w:rFonts w:ascii="Arial" w:hAnsi="Arial" w:cs="Arial"/>
          <w:sz w:val="14"/>
        </w:rPr>
      </w:pPr>
      <w:r w:rsidRPr="00AC377C">
        <w:rPr>
          <w:rFonts w:cs="Arial"/>
          <w:bCs/>
          <w:sz w:val="14"/>
          <w:szCs w:val="16"/>
        </w:rPr>
        <w:t xml:space="preserve">Loewenthal M, Dobson P, Collins N, et al for the HITHRIG (HITH Research Interest Group). (2013). </w:t>
      </w:r>
      <w:r w:rsidRPr="00AC377C">
        <w:rPr>
          <w:rFonts w:cs="Arial"/>
          <w:bCs/>
          <w:sz w:val="14"/>
          <w:szCs w:val="16"/>
          <w:u w:val="single"/>
        </w:rPr>
        <w:t>The multi-site HITH PICC Study – Bigger and Better</w:t>
      </w:r>
      <w:r w:rsidRPr="00AC377C">
        <w:rPr>
          <w:rFonts w:cs="Arial"/>
          <w:bCs/>
          <w:sz w:val="14"/>
          <w:szCs w:val="16"/>
        </w:rPr>
        <w:t>.  6</w:t>
      </w:r>
      <w:r w:rsidRPr="00AC377C">
        <w:rPr>
          <w:rFonts w:cs="Arial"/>
          <w:bCs/>
          <w:sz w:val="14"/>
          <w:szCs w:val="16"/>
          <w:vertAlign w:val="superscript"/>
        </w:rPr>
        <w:t>th</w:t>
      </w:r>
      <w:r w:rsidRPr="00AC377C">
        <w:rPr>
          <w:rFonts w:cs="Arial"/>
          <w:bCs/>
          <w:sz w:val="14"/>
          <w:szCs w:val="16"/>
        </w:rPr>
        <w:t xml:space="preserve"> Annual Scientific Meeting of the HITH Society Australasia. October 2013, Sydney NSW </w:t>
      </w:r>
    </w:p>
    <w:p w:rsidR="00AC377C" w:rsidRPr="00AC377C" w:rsidRDefault="00AC377C" w:rsidP="00AC377C">
      <w:pPr>
        <w:numPr>
          <w:ilvl w:val="0"/>
          <w:numId w:val="2"/>
        </w:numPr>
        <w:rPr>
          <w:rFonts w:ascii="Arial" w:hAnsi="Arial" w:cs="Arial"/>
          <w:sz w:val="14"/>
        </w:rPr>
      </w:pPr>
      <w:r w:rsidRPr="00AC377C">
        <w:rPr>
          <w:rFonts w:ascii="Arial" w:hAnsi="Arial" w:cs="Arial"/>
          <w:sz w:val="14"/>
        </w:rPr>
        <w:t xml:space="preserve">Loewenthal M, Dobson P, Collins N, Harbort Y, Kuzmich D, Van Popering G, Hecimovic T, Beaumont F, Ellis A, King J, Ong B, Masters J, &amp; Hawkins N, for the HITH Research Interest Group. </w:t>
      </w:r>
      <w:r w:rsidRPr="00AC377C">
        <w:rPr>
          <w:rFonts w:ascii="Arial" w:hAnsi="Arial" w:cs="Arial"/>
          <w:sz w:val="14"/>
          <w:u w:val="single"/>
        </w:rPr>
        <w:t>Valved versus Non-Valved PICCs in Hospital in the Home (HITH) – A multi-site national study.</w:t>
      </w:r>
      <w:r w:rsidRPr="00AC377C">
        <w:rPr>
          <w:rFonts w:ascii="Arial" w:hAnsi="Arial" w:cs="Arial"/>
          <w:sz w:val="14"/>
        </w:rPr>
        <w:t xml:space="preserve"> World Congress on Vascular Access WOCOVA Berlin, June 2014.</w:t>
      </w:r>
    </w:p>
    <w:p w:rsidR="00AC377C" w:rsidRDefault="00AC377C"/>
    <w:p w:rsidR="003E1E7F" w:rsidRDefault="003E1E7F">
      <w:r>
        <w:t xml:space="preserve">Individual sites received data in graph and table form </w:t>
      </w:r>
      <w:r w:rsidR="0035627F">
        <w:t xml:space="preserve">(see below) </w:t>
      </w:r>
      <w:r>
        <w:t>to compare their outcomes to those of the other sites in the study.</w:t>
      </w:r>
    </w:p>
    <w:p w:rsidR="0020317D" w:rsidRDefault="0020317D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1279"/>
        <w:gridCol w:w="1279"/>
        <w:gridCol w:w="1358"/>
        <w:gridCol w:w="1279"/>
      </w:tblGrid>
      <w:tr w:rsidR="0035627F" w:rsidRPr="0020317D" w:rsidTr="00203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Service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Time at risk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Incidence rate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subjects</w:t>
            </w:r>
          </w:p>
        </w:tc>
      </w:tr>
      <w:tr w:rsidR="0035627F" w:rsidRPr="0020317D" w:rsidTr="0020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Z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98627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.00364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4476</w:t>
            </w:r>
          </w:p>
        </w:tc>
      </w:tr>
      <w:tr w:rsidR="0035627F" w:rsidRPr="0020317D" w:rsidTr="0020317D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Y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3452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.0040556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185</w:t>
            </w:r>
          </w:p>
        </w:tc>
      </w:tr>
      <w:tr w:rsidR="0035627F" w:rsidRPr="0020317D" w:rsidTr="0020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X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486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.0061728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19</w:t>
            </w:r>
          </w:p>
        </w:tc>
      </w:tr>
      <w:tr w:rsidR="0035627F" w:rsidRPr="0020317D" w:rsidTr="002031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W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787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.0025413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18</w:t>
            </w:r>
          </w:p>
        </w:tc>
      </w:tr>
      <w:tr w:rsidR="0035627F" w:rsidRPr="0020317D" w:rsidTr="0020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V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359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.0083565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19</w:t>
            </w:r>
          </w:p>
        </w:tc>
      </w:tr>
      <w:tr w:rsidR="0035627F" w:rsidRPr="0020317D" w:rsidTr="002031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T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3539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.0031082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91</w:t>
            </w:r>
          </w:p>
        </w:tc>
      </w:tr>
      <w:tr w:rsidR="0035627F" w:rsidRPr="0020317D" w:rsidTr="0020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S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4957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.0006052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170</w:t>
            </w:r>
          </w:p>
        </w:tc>
      </w:tr>
      <w:tr w:rsidR="0035627F" w:rsidRPr="0020317D" w:rsidTr="002031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R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1251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.0023981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37</w:t>
            </w:r>
          </w:p>
        </w:tc>
      </w:tr>
      <w:tr w:rsidR="0035627F" w:rsidRPr="0020317D" w:rsidTr="0020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Q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1204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.0049834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30</w:t>
            </w:r>
          </w:p>
        </w:tc>
      </w:tr>
      <w:tr w:rsidR="0035627F" w:rsidRPr="0020317D" w:rsidTr="002031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P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11667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.0025714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411</w:t>
            </w:r>
          </w:p>
        </w:tc>
      </w:tr>
      <w:tr w:rsidR="0035627F" w:rsidRPr="0020317D" w:rsidTr="002031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O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11306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.0020343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461</w:t>
            </w:r>
          </w:p>
        </w:tc>
      </w:tr>
      <w:tr w:rsidR="0035627F" w:rsidRPr="0020317D" w:rsidTr="0020317D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9" w:type="dxa"/>
          </w:tcPr>
          <w:p w:rsidR="0035627F" w:rsidRPr="0020317D" w:rsidRDefault="0035627F" w:rsidP="00686A5B">
            <w:pPr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total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137635</w:t>
            </w:r>
          </w:p>
        </w:tc>
        <w:tc>
          <w:tcPr>
            <w:tcW w:w="1358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.0033204</w:t>
            </w:r>
          </w:p>
        </w:tc>
        <w:tc>
          <w:tcPr>
            <w:tcW w:w="1279" w:type="dxa"/>
          </w:tcPr>
          <w:p w:rsidR="0035627F" w:rsidRPr="0020317D" w:rsidRDefault="0035627F" w:rsidP="00686A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1"/>
                <w:szCs w:val="16"/>
              </w:rPr>
            </w:pPr>
            <w:r w:rsidRPr="0020317D">
              <w:rPr>
                <w:rFonts w:ascii="Century Gothic" w:hAnsi="Century Gothic"/>
                <w:sz w:val="21"/>
                <w:szCs w:val="16"/>
              </w:rPr>
              <w:t>5917</w:t>
            </w:r>
          </w:p>
        </w:tc>
      </w:tr>
    </w:tbl>
    <w:p w:rsidR="003E1E7F" w:rsidRDefault="003E1E7F"/>
    <w:p w:rsidR="00AC377C" w:rsidRPr="00AC377C" w:rsidRDefault="003E1E7F">
      <w:pPr>
        <w:rPr>
          <w:b/>
        </w:rPr>
      </w:pPr>
      <w:r>
        <w:rPr>
          <w:b/>
        </w:rPr>
        <w:t>Study closure</w:t>
      </w:r>
    </w:p>
    <w:p w:rsidR="000C56A6" w:rsidRDefault="00AC377C">
      <w:r>
        <w:t xml:space="preserve">The researchers received fewer submissions of updated data </w:t>
      </w:r>
      <w:r w:rsidR="003E1E7F">
        <w:t xml:space="preserve">from sites </w:t>
      </w:r>
      <w:r>
        <w:t>in 2014</w:t>
      </w:r>
      <w:r w:rsidR="00472187">
        <w:t xml:space="preserve"> limiting the feasibility of continuing the study</w:t>
      </w:r>
      <w:r>
        <w:t>.</w:t>
      </w:r>
      <w:r w:rsidR="0035627F">
        <w:t xml:space="preserve"> </w:t>
      </w:r>
      <w:r w:rsidR="003E1E7F">
        <w:t>Therefore after 3 years the study was closed to data entry. The final analysis was undertaken in 2014 for presentation to the World Congress on Vascular Access (WOCOVA).</w:t>
      </w:r>
    </w:p>
    <w:p w:rsidR="0035627F" w:rsidRDefault="0035627F"/>
    <w:p w:rsidR="000C56A6" w:rsidRDefault="0035627F">
      <w:r>
        <w:t>Pauline Dobson</w:t>
      </w:r>
      <w:r w:rsidR="0020317D">
        <w:t xml:space="preserve"> 2018</w:t>
      </w:r>
    </w:p>
    <w:sectPr w:rsidR="000C5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5F5F"/>
    <w:multiLevelType w:val="singleLevel"/>
    <w:tmpl w:val="AE7C7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A9A09F5"/>
    <w:multiLevelType w:val="hybridMultilevel"/>
    <w:tmpl w:val="EA6EFB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7C"/>
    <w:rsid w:val="000C56A6"/>
    <w:rsid w:val="001364A7"/>
    <w:rsid w:val="001922FD"/>
    <w:rsid w:val="0020317D"/>
    <w:rsid w:val="003540B0"/>
    <w:rsid w:val="0035627F"/>
    <w:rsid w:val="003E1E7F"/>
    <w:rsid w:val="00472187"/>
    <w:rsid w:val="00AC377C"/>
    <w:rsid w:val="00AC47C3"/>
    <w:rsid w:val="00CF0B21"/>
    <w:rsid w:val="00E673D2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44E8A-54A7-4AEF-A558-F0C1B5F0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77C"/>
    <w:pPr>
      <w:ind w:left="720"/>
      <w:contextualSpacing/>
    </w:pPr>
    <w:rPr>
      <w:rFonts w:asciiTheme="minorHAnsi" w:eastAsiaTheme="minorEastAsia" w:hAnsiTheme="minorHAnsi" w:cs="Times New Roman"/>
      <w:szCs w:val="24"/>
      <w:lang w:val="en-US" w:bidi="en-US"/>
    </w:rPr>
  </w:style>
  <w:style w:type="paragraph" w:customStyle="1" w:styleId="Quick1">
    <w:name w:val="Quick 1."/>
    <w:basedOn w:val="Normal"/>
    <w:rsid w:val="00AC377C"/>
    <w:pPr>
      <w:ind w:left="720" w:hanging="720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Default">
    <w:name w:val="Default"/>
    <w:basedOn w:val="Normal"/>
    <w:rsid w:val="003E1E7F"/>
    <w:pPr>
      <w:autoSpaceDE w:val="0"/>
      <w:autoSpaceDN w:val="0"/>
    </w:pPr>
    <w:rPr>
      <w:rFonts w:ascii="Arial" w:eastAsiaTheme="minorEastAsia" w:hAnsi="Arial" w:cs="Arial"/>
      <w:color w:val="000000"/>
      <w:szCs w:val="24"/>
      <w:lang w:eastAsia="ja-JP"/>
    </w:rPr>
  </w:style>
  <w:style w:type="table" w:styleId="LightList">
    <w:name w:val="Light List"/>
    <w:basedOn w:val="TableNormal"/>
    <w:uiPriority w:val="61"/>
    <w:rsid w:val="0035627F"/>
    <w:rPr>
      <w:rFonts w:asciiTheme="minorHAnsi" w:hAnsiTheme="minorHAns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HNEAHS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CNC</dc:creator>
  <cp:lastModifiedBy>JAMES POLLARD</cp:lastModifiedBy>
  <cp:revision>2</cp:revision>
  <dcterms:created xsi:type="dcterms:W3CDTF">2018-09-14T01:24:00Z</dcterms:created>
  <dcterms:modified xsi:type="dcterms:W3CDTF">2018-09-14T01:24:00Z</dcterms:modified>
</cp:coreProperties>
</file>